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Sepse</w:t>
      </w:r>
    </w:p>
    <w:p w:rsidR="00000000" w:rsidDel="00000000" w:rsidP="00000000" w:rsidRDefault="00000000" w:rsidRPr="00000000" w14:paraId="00000002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= </w:t>
      </w:r>
      <w:r w:rsidDel="00000000" w:rsidR="00000000" w:rsidRPr="00000000">
        <w:rPr>
          <w:b w:val="1"/>
          <w:rtl w:val="0"/>
        </w:rPr>
        <w:t xml:space="preserve">život ohrožující orgánová dysfunkce způsobená </w:t>
      </w:r>
      <w:r w:rsidDel="00000000" w:rsidR="00000000" w:rsidRPr="00000000">
        <w:rPr>
          <w:b w:val="1"/>
          <w:rtl w:val="0"/>
        </w:rPr>
        <w:t xml:space="preserve">deregulovanou</w:t>
      </w:r>
      <w:r w:rsidDel="00000000" w:rsidR="00000000" w:rsidRPr="00000000">
        <w:rPr>
          <w:b w:val="1"/>
          <w:rtl w:val="0"/>
        </w:rPr>
        <w:t xml:space="preserve"> odpovědí hostitelského organismu na přítomnost infekce. </w:t>
      </w:r>
      <w:r w:rsidDel="00000000" w:rsidR="00000000" w:rsidRPr="00000000">
        <w:rPr>
          <w:u w:val="single"/>
          <w:rtl w:val="0"/>
        </w:rPr>
        <w:t xml:space="preserve">(2 a více bodů ze SOFA + potvrzená či předpokládaná infekce). </w:t>
      </w:r>
    </w:p>
    <w:p w:rsidR="00000000" w:rsidDel="00000000" w:rsidP="00000000" w:rsidRDefault="00000000" w:rsidRPr="00000000" w14:paraId="0000000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Je hlavní příčinou úmrtí při infekci.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- Septický šok </w:t>
      </w:r>
      <w:r w:rsidDel="00000000" w:rsidR="00000000" w:rsidRPr="00000000">
        <w:rPr>
          <w:rtl w:val="0"/>
        </w:rPr>
        <w:t xml:space="preserve">= </w:t>
      </w:r>
      <w:r w:rsidDel="00000000" w:rsidR="00000000" w:rsidRPr="00000000">
        <w:rPr>
          <w:u w:val="single"/>
          <w:rtl w:val="0"/>
        </w:rPr>
        <w:t xml:space="preserve">sepse komplikovaná hypotenzí, která navzdory dostatečné objemové restituci vyžaduje </w:t>
      </w:r>
      <w:r w:rsidDel="00000000" w:rsidR="00000000" w:rsidRPr="00000000">
        <w:rPr>
          <w:u w:val="single"/>
          <w:rtl w:val="0"/>
        </w:rPr>
        <w:t xml:space="preserve">užití</w:t>
      </w:r>
      <w:r w:rsidDel="00000000" w:rsidR="00000000" w:rsidRPr="00000000">
        <w:rPr>
          <w:u w:val="single"/>
          <w:rtl w:val="0"/>
        </w:rPr>
        <w:t xml:space="preserve"> vazopresorů k dosažení středního arteriálního tlaku ≥ 65 mmHg, současně je elevace laktátu &gt; 2 mmol/l. Tento stav má 40% nemocniční mortalitu.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- Rozpoznání orgánové dysfunkce - SOFA (Sepsis-related Organ Fail Assessment) </w:t>
      </w:r>
      <w:r w:rsidDel="00000000" w:rsidR="00000000" w:rsidRPr="00000000">
        <w:rPr>
          <w:rtl w:val="0"/>
        </w:rPr>
        <w:t xml:space="preserve">- hodnotí respiraci, stav vědomí, hemodynamiku, renální a jaterní funkce, parametry koagulace (body 0-4). Pro definici minimálně</w:t>
      </w:r>
      <w:r w:rsidDel="00000000" w:rsidR="00000000" w:rsidRPr="00000000">
        <w:rPr>
          <w:u w:val="single"/>
          <w:rtl w:val="0"/>
        </w:rPr>
        <w:t xml:space="preserve"> 2 body a více.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ab/>
        <w:t xml:space="preserve">- </w:t>
      </w:r>
      <w:r w:rsidDel="00000000" w:rsidR="00000000" w:rsidRPr="00000000">
        <w:rPr>
          <w:rtl w:val="0"/>
        </w:rPr>
        <w:t xml:space="preserve">Respirace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oxygenace</w:t>
      </w:r>
      <w:r w:rsidDel="00000000" w:rsidR="00000000" w:rsidRPr="00000000">
        <w:rPr>
          <w:rtl w:val="0"/>
        </w:rPr>
        <w:t xml:space="preserve"> (PaO2/FiO2)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ab/>
        <w:t xml:space="preserve">- Glasgow Coma Scale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ab/>
        <w:t xml:space="preserve">- Hypotenze (MAP &lt; 65 mmHg) nebo pořeba užití vazopresoru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ab/>
        <w:t xml:space="preserve">- Jaterní funkce (bilirubin)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ab/>
        <w:t xml:space="preserve">- Koagulopatie (trombocytopenie)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ab/>
        <w:t xml:space="preserve">- Renální funkce (kreatinin, Oligo-/anurie).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4050" cy="4165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16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u w:val="single"/>
          <w:rtl w:val="0"/>
        </w:rPr>
        <w:t xml:space="preserve">Rychlé rozpoznání rizikových pacientů na příjmech nebo na standardním oddělení (triáž) qSOFA (quick-SOFA)</w:t>
      </w:r>
      <w:r w:rsidDel="00000000" w:rsidR="00000000" w:rsidRPr="00000000">
        <w:rPr>
          <w:rtl w:val="0"/>
        </w:rPr>
        <w:t xml:space="preserve"> - tříbodový systém, každý bod definuje odchylku v jednom vitálním parametru: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 STK ≤ 100 mmHg, tachypnoe ≥ 22/minutu, GCS &lt; 15.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2 a více bodů u pacienta s infekcí je velká pravděpodobnost sepse. </w:t>
      </w:r>
    </w:p>
    <w:p w:rsidR="00000000" w:rsidDel="00000000" w:rsidP="00000000" w:rsidRDefault="00000000" w:rsidRPr="00000000" w14:paraId="00000011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- SIRS (Systemic inflammatory Response Syndrome)</w:t>
      </w:r>
      <w:r w:rsidDel="00000000" w:rsidR="00000000" w:rsidRPr="00000000">
        <w:rPr>
          <w:rtl w:val="0"/>
        </w:rPr>
        <w:t xml:space="preserve"> - může být nástroj k rozpoznání infekce, ale není podmínkou. </w:t>
      </w:r>
      <w:r w:rsidDel="00000000" w:rsidR="00000000" w:rsidRPr="00000000">
        <w:rPr>
          <w:u w:val="single"/>
          <w:rtl w:val="0"/>
        </w:rPr>
        <w:t xml:space="preserve">Definice SIRS - 2 a více. </w:t>
      </w:r>
      <w:r w:rsidDel="00000000" w:rsidR="00000000" w:rsidRPr="00000000">
        <w:rPr>
          <w:rtl w:val="0"/>
        </w:rPr>
        <w:t xml:space="preserve">(Dříve definice sepse - SIRS + infekce, dnes víme, že je někdy zánětlivá odpověď velká na neseptický podmět a někdy je zánětlivá odpověď malá, např. imunosupresivní pacienti při sepsi). 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color w:val="212529"/>
          <w:u w:val="single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u w:val="single"/>
          <w:rtl w:val="0"/>
        </w:rPr>
        <w:t xml:space="preserve">- T</w:t>
      </w:r>
      <w:r w:rsidDel="00000000" w:rsidR="00000000" w:rsidRPr="00000000">
        <w:rPr>
          <w:color w:val="212529"/>
          <w:u w:val="single"/>
          <w:rtl w:val="0"/>
        </w:rPr>
        <w:t xml:space="preserve">eplota nad 38 °C nebo pod 36 °C. </w:t>
      </w:r>
    </w:p>
    <w:p w:rsidR="00000000" w:rsidDel="00000000" w:rsidP="00000000" w:rsidRDefault="00000000" w:rsidRPr="00000000" w14:paraId="00000014">
      <w:pPr>
        <w:ind w:left="0" w:firstLine="720"/>
        <w:jc w:val="both"/>
        <w:rPr>
          <w:color w:val="212529"/>
          <w:u w:val="single"/>
        </w:rPr>
      </w:pPr>
      <w:r w:rsidDel="00000000" w:rsidR="00000000" w:rsidRPr="00000000">
        <w:rPr>
          <w:color w:val="212529"/>
          <w:u w:val="single"/>
          <w:rtl w:val="0"/>
        </w:rPr>
        <w:t xml:space="preserve">- Tep nad 90/min.</w:t>
      </w:r>
    </w:p>
    <w:p w:rsidR="00000000" w:rsidDel="00000000" w:rsidP="00000000" w:rsidRDefault="00000000" w:rsidRPr="00000000" w14:paraId="00000015">
      <w:pPr>
        <w:ind w:left="0" w:firstLine="720"/>
        <w:jc w:val="both"/>
        <w:rPr>
          <w:color w:val="212529"/>
          <w:u w:val="single"/>
        </w:rPr>
      </w:pPr>
      <w:r w:rsidDel="00000000" w:rsidR="00000000" w:rsidRPr="00000000">
        <w:rPr>
          <w:color w:val="212529"/>
          <w:u w:val="single"/>
          <w:rtl w:val="0"/>
        </w:rPr>
        <w:t xml:space="preserve">- Dechová frekvence nad 20/min nebo CO</w:t>
      </w:r>
      <w:r w:rsidDel="00000000" w:rsidR="00000000" w:rsidRPr="00000000">
        <w:rPr>
          <w:color w:val="212529"/>
          <w:u w:val="single"/>
          <w:rtl w:val="0"/>
        </w:rPr>
        <w:t xml:space="preserve">2</w:t>
      </w:r>
      <w:r w:rsidDel="00000000" w:rsidR="00000000" w:rsidRPr="00000000">
        <w:rPr>
          <w:color w:val="212529"/>
          <w:u w:val="single"/>
          <w:rtl w:val="0"/>
        </w:rPr>
        <w:t xml:space="preserve"> pod 32 mmHg.</w:t>
      </w:r>
    </w:p>
    <w:p w:rsidR="00000000" w:rsidDel="00000000" w:rsidP="00000000" w:rsidRDefault="00000000" w:rsidRPr="00000000" w14:paraId="00000016">
      <w:pPr>
        <w:ind w:left="0" w:firstLine="720"/>
        <w:jc w:val="both"/>
        <w:rPr>
          <w:color w:val="212529"/>
          <w:u w:val="single"/>
        </w:rPr>
      </w:pPr>
      <w:r w:rsidDel="00000000" w:rsidR="00000000" w:rsidRPr="00000000">
        <w:rPr>
          <w:color w:val="212529"/>
          <w:u w:val="single"/>
          <w:rtl w:val="0"/>
        </w:rPr>
        <w:t xml:space="preserve">-</w:t>
      </w:r>
      <w:r w:rsidDel="00000000" w:rsidR="00000000" w:rsidRPr="00000000">
        <w:rPr>
          <w:u w:val="single"/>
          <w:rtl w:val="0"/>
        </w:rPr>
        <w:t xml:space="preserve"> L</w:t>
      </w:r>
      <w:hyperlink r:id="rId7">
        <w:r w:rsidDel="00000000" w:rsidR="00000000" w:rsidRPr="00000000">
          <w:rPr>
            <w:u w:val="single"/>
            <w:rtl w:val="0"/>
          </w:rPr>
          <w:t xml:space="preserve">eukocyty</w:t>
        </w:r>
      </w:hyperlink>
      <w:r w:rsidDel="00000000" w:rsidR="00000000" w:rsidRPr="00000000">
        <w:rPr>
          <w:u w:val="single"/>
          <w:rtl w:val="0"/>
        </w:rPr>
        <w:t xml:space="preserve"> nad 12 tis.</w:t>
      </w:r>
      <w:r w:rsidDel="00000000" w:rsidR="00000000" w:rsidRPr="00000000">
        <w:rPr>
          <w:color w:val="212529"/>
          <w:u w:val="single"/>
          <w:rtl w:val="0"/>
        </w:rPr>
        <w:t xml:space="preserve">/µl nebo pod 4 tis./µl nebo víc jak 10 % nezralých forem.</w:t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both"/>
        <w:rPr>
          <w:color w:val="212529"/>
        </w:rPr>
      </w:pPr>
      <w:r w:rsidDel="00000000" w:rsidR="00000000" w:rsidRPr="00000000">
        <w:rPr>
          <w:b w:val="1"/>
          <w:color w:val="212529"/>
          <w:u w:val="single"/>
          <w:rtl w:val="0"/>
        </w:rPr>
        <w:t xml:space="preserve">Sepse 3 </w:t>
      </w:r>
      <w:r w:rsidDel="00000000" w:rsidR="00000000" w:rsidRPr="00000000">
        <w:rPr>
          <w:color w:val="212529"/>
          <w:rtl w:val="0"/>
        </w:rPr>
        <w:t xml:space="preserve">- 3 kroky při rutinním vyhodnocení a léčby pacienta s podezřením na infekci: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color w:val="212529"/>
        </w:rPr>
      </w:pPr>
      <w:r w:rsidDel="00000000" w:rsidR="00000000" w:rsidRPr="00000000">
        <w:rPr>
          <w:color w:val="212529"/>
          <w:u w:val="single"/>
          <w:rtl w:val="0"/>
        </w:rPr>
        <w:t xml:space="preserve">Stanovení diagnózy infekce a její včasná léčba </w:t>
      </w:r>
      <w:r w:rsidDel="00000000" w:rsidR="00000000" w:rsidRPr="00000000">
        <w:rPr>
          <w:color w:val="212529"/>
          <w:rtl w:val="0"/>
        </w:rPr>
        <w:t xml:space="preserve">(odběr mikrobiologického materiálu včetně hemokultur a včasné podání vhodných ATB)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jc w:val="both"/>
        <w:rPr>
          <w:color w:val="212529"/>
        </w:rPr>
      </w:pPr>
      <w:r w:rsidDel="00000000" w:rsidR="00000000" w:rsidRPr="00000000">
        <w:rPr>
          <w:color w:val="212529"/>
          <w:u w:val="single"/>
          <w:rtl w:val="0"/>
        </w:rPr>
        <w:t xml:space="preserve">Rozpoznání orgánové dysfunkce a stanovení diagnostiky sepse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jc w:val="both"/>
        <w:rPr>
          <w:color w:val="212529"/>
        </w:rPr>
      </w:pPr>
      <w:r w:rsidDel="00000000" w:rsidR="00000000" w:rsidRPr="00000000">
        <w:rPr>
          <w:color w:val="212529"/>
          <w:u w:val="single"/>
          <w:rtl w:val="0"/>
        </w:rPr>
        <w:t xml:space="preserve">Rozpoznání a léčba hypotenze</w:t>
      </w:r>
      <w:r w:rsidDel="00000000" w:rsidR="00000000" w:rsidRPr="00000000">
        <w:rPr>
          <w:color w:val="212529"/>
          <w:rtl w:val="0"/>
        </w:rPr>
        <w:t xml:space="preserve"> - klíčový prognostický ukazatel (krystaloidy ev. vazopresory při šoku). </w:t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color w:val="212529"/>
        </w:rPr>
      </w:pPr>
      <w:r w:rsidDel="00000000" w:rsidR="00000000" w:rsidRPr="00000000">
        <w:rPr>
          <w:b w:val="1"/>
          <w:color w:val="212529"/>
          <w:u w:val="single"/>
          <w:rtl w:val="0"/>
        </w:rPr>
        <w:t xml:space="preserve">Terapie - trias -</w:t>
      </w:r>
      <w:r w:rsidDel="00000000" w:rsidR="00000000" w:rsidRPr="00000000">
        <w:rPr>
          <w:color w:val="212529"/>
          <w:rtl w:val="0"/>
        </w:rPr>
        <w:t xml:space="preserve"> </w:t>
      </w:r>
      <w:r w:rsidDel="00000000" w:rsidR="00000000" w:rsidRPr="00000000">
        <w:rPr>
          <w:color w:val="212529"/>
          <w:u w:val="single"/>
          <w:rtl w:val="0"/>
        </w:rPr>
        <w:t xml:space="preserve">antimikrobiální léčba, kontrola zdroje infekce, tekutinová léčba</w:t>
      </w:r>
      <w:r w:rsidDel="00000000" w:rsidR="00000000" w:rsidRPr="00000000">
        <w:rPr>
          <w:color w:val="212529"/>
          <w:rtl w:val="0"/>
        </w:rPr>
        <w:t xml:space="preserve"> a rozvaha směrování pacienta na JIP či standardní lůžko</w:t>
      </w:r>
    </w:p>
    <w:p w:rsidR="00000000" w:rsidDel="00000000" w:rsidP="00000000" w:rsidRDefault="00000000" w:rsidRPr="00000000" w14:paraId="0000001E">
      <w:pPr>
        <w:jc w:val="both"/>
        <w:rPr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  <w:color w:val="212529"/>
          <w:u w:val="single"/>
        </w:rPr>
      </w:pPr>
      <w:r w:rsidDel="00000000" w:rsidR="00000000" w:rsidRPr="00000000">
        <w:rPr>
          <w:b w:val="1"/>
          <w:color w:val="212529"/>
          <w:u w:val="single"/>
          <w:rtl w:val="0"/>
        </w:rPr>
        <w:t xml:space="preserve">Varovné známky sepse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jc w:val="both"/>
        <w:rPr>
          <w:color w:val="212529"/>
        </w:rPr>
      </w:pPr>
      <w:r w:rsidDel="00000000" w:rsidR="00000000" w:rsidRPr="00000000">
        <w:rPr>
          <w:color w:val="212529"/>
          <w:u w:val="single"/>
          <w:rtl w:val="0"/>
        </w:rPr>
        <w:t xml:space="preserve">Výskyt skvrnitých změn kůže (mramorování)</w:t>
      </w:r>
      <w:r w:rsidDel="00000000" w:rsidR="00000000" w:rsidRPr="00000000">
        <w:rPr>
          <w:color w:val="212529"/>
          <w:rtl w:val="0"/>
        </w:rPr>
        <w:t xml:space="preserve"> v oblasti kolen, prstů a uší - úzce koreluje s mortalitou.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jc w:val="both"/>
        <w:rPr>
          <w:color w:val="212529"/>
        </w:rPr>
      </w:pPr>
      <w:r w:rsidDel="00000000" w:rsidR="00000000" w:rsidRPr="00000000">
        <w:rPr>
          <w:color w:val="212529"/>
          <w:u w:val="single"/>
          <w:rtl w:val="0"/>
        </w:rPr>
        <w:t xml:space="preserve">Opožděný kapilární návrat</w:t>
      </w:r>
      <w:r w:rsidDel="00000000" w:rsidR="00000000" w:rsidRPr="00000000">
        <w:rPr>
          <w:color w:val="212529"/>
          <w:rtl w:val="0"/>
        </w:rPr>
        <w:t xml:space="preserve"> po 5ti vteřinovém </w:t>
      </w:r>
      <w:r w:rsidDel="00000000" w:rsidR="00000000" w:rsidRPr="00000000">
        <w:rPr>
          <w:color w:val="212529"/>
          <w:rtl w:val="0"/>
        </w:rPr>
        <w:t xml:space="preserve">stlačení</w:t>
      </w:r>
      <w:r w:rsidDel="00000000" w:rsidR="00000000" w:rsidRPr="00000000">
        <w:rPr>
          <w:color w:val="212529"/>
          <w:rtl w:val="0"/>
        </w:rPr>
        <w:t xml:space="preserve"> nehtového lůžka (hraniční hodnoty 2,5-4,5).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jc w:val="both"/>
        <w:rPr>
          <w:color w:val="212529"/>
        </w:rPr>
      </w:pPr>
      <w:r w:rsidDel="00000000" w:rsidR="00000000" w:rsidRPr="00000000">
        <w:rPr>
          <w:color w:val="212529"/>
          <w:u w:val="single"/>
          <w:rtl w:val="0"/>
        </w:rPr>
        <w:t xml:space="preserve">Teplotní rozdíl mezi předloktím a prsty - chladná akra</w:t>
      </w:r>
      <w:r w:rsidDel="00000000" w:rsidR="00000000" w:rsidRPr="00000000">
        <w:rPr>
          <w:color w:val="212529"/>
          <w:rtl w:val="0"/>
        </w:rPr>
        <w:t xml:space="preserve"> (Rozdíl více než 4°C znamená periferní vazokonstrikci). </w:t>
      </w:r>
    </w:p>
    <w:p w:rsidR="00000000" w:rsidDel="00000000" w:rsidP="00000000" w:rsidRDefault="00000000" w:rsidRPr="00000000" w14:paraId="00000023">
      <w:pPr>
        <w:ind w:left="0" w:firstLine="0"/>
        <w:jc w:val="both"/>
        <w:rPr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jc w:val="both"/>
        <w:rPr>
          <w:color w:val="212529"/>
        </w:rPr>
      </w:pPr>
      <w:r w:rsidDel="00000000" w:rsidR="00000000" w:rsidRPr="00000000">
        <w:rPr>
          <w:b w:val="1"/>
          <w:color w:val="212529"/>
          <w:u w:val="single"/>
          <w:rtl w:val="0"/>
        </w:rPr>
        <w:t xml:space="preserve">Dále je důležité stanovení laktátu</w:t>
      </w:r>
      <w:r w:rsidDel="00000000" w:rsidR="00000000" w:rsidRPr="00000000">
        <w:rPr>
          <w:color w:val="212529"/>
          <w:rtl w:val="0"/>
        </w:rPr>
        <w:t xml:space="preserve"> - mírné zvýšení 2,1 - 3,9 mmol/l - stoupá riziko mortality. Pacienti často vypadají lépe, než je jejich stav. Při </w:t>
      </w:r>
      <w:r w:rsidDel="00000000" w:rsidR="00000000" w:rsidRPr="00000000">
        <w:rPr>
          <w:color w:val="212529"/>
          <w:rtl w:val="0"/>
        </w:rPr>
        <w:t xml:space="preserve">elevaci</w:t>
      </w:r>
      <w:r w:rsidDel="00000000" w:rsidR="00000000" w:rsidRPr="00000000">
        <w:rPr>
          <w:color w:val="212529"/>
          <w:rtl w:val="0"/>
        </w:rPr>
        <w:t xml:space="preserve"> laktátu u normotenzního a febrilního pacienta je velké riziko časného rozvoje sepse (do 72 hodin) a to navzdory včasného nasazení ATB. A anopak, hypotenzní pacient s normálním laktátem. </w:t>
      </w:r>
    </w:p>
    <w:p w:rsidR="00000000" w:rsidDel="00000000" w:rsidP="00000000" w:rsidRDefault="00000000" w:rsidRPr="00000000" w14:paraId="00000025">
      <w:pPr>
        <w:ind w:left="0" w:firstLine="0"/>
        <w:jc w:val="both"/>
        <w:rPr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jc w:val="both"/>
        <w:rPr>
          <w:b w:val="1"/>
          <w:color w:val="212529"/>
          <w:u w:val="single"/>
        </w:rPr>
      </w:pPr>
      <w:r w:rsidDel="00000000" w:rsidR="00000000" w:rsidRPr="00000000">
        <w:rPr>
          <w:b w:val="1"/>
          <w:color w:val="212529"/>
          <w:u w:val="single"/>
          <w:rtl w:val="0"/>
        </w:rPr>
        <w:t xml:space="preserve">Empirická kombinace ATB</w:t>
      </w:r>
    </w:p>
    <w:p w:rsidR="00000000" w:rsidDel="00000000" w:rsidP="00000000" w:rsidRDefault="00000000" w:rsidRPr="00000000" w14:paraId="00000027">
      <w:pPr>
        <w:ind w:left="0" w:firstLine="0"/>
        <w:jc w:val="both"/>
        <w:rPr>
          <w:color w:val="212529"/>
          <w:u w:val="single"/>
        </w:rPr>
      </w:pPr>
      <w:r w:rsidDel="00000000" w:rsidR="00000000" w:rsidRPr="00000000">
        <w:rPr>
          <w:color w:val="212529"/>
          <w:rtl w:val="0"/>
        </w:rPr>
        <w:t xml:space="preserve">1) </w:t>
      </w:r>
      <w:r w:rsidDel="00000000" w:rsidR="00000000" w:rsidRPr="00000000">
        <w:rPr>
          <w:b w:val="1"/>
          <w:color w:val="212529"/>
          <w:rtl w:val="0"/>
        </w:rPr>
        <w:t xml:space="preserve">Novorozenci</w:t>
      </w:r>
      <w:r w:rsidDel="00000000" w:rsidR="00000000" w:rsidRPr="00000000">
        <w:rPr>
          <w:color w:val="212529"/>
          <w:rtl w:val="0"/>
        </w:rPr>
        <w:t xml:space="preserve"> - GBS (Streptococcus agalactiae), e-coli: </w:t>
      </w:r>
      <w:r w:rsidDel="00000000" w:rsidR="00000000" w:rsidRPr="00000000">
        <w:rPr>
          <w:color w:val="212529"/>
          <w:u w:val="single"/>
          <w:rtl w:val="0"/>
        </w:rPr>
        <w:t xml:space="preserve">ampi/pnc + gentamicin</w:t>
      </w:r>
    </w:p>
    <w:p w:rsidR="00000000" w:rsidDel="00000000" w:rsidP="00000000" w:rsidRDefault="00000000" w:rsidRPr="00000000" w14:paraId="00000028">
      <w:pPr>
        <w:ind w:left="0" w:firstLine="0"/>
        <w:jc w:val="both"/>
        <w:rPr>
          <w:b w:val="1"/>
          <w:color w:val="212529"/>
        </w:rPr>
      </w:pPr>
      <w:r w:rsidDel="00000000" w:rsidR="00000000" w:rsidRPr="00000000">
        <w:rPr>
          <w:color w:val="212529"/>
          <w:rtl w:val="0"/>
        </w:rPr>
        <w:t xml:space="preserve">2) </w:t>
      </w:r>
      <w:r w:rsidDel="00000000" w:rsidR="00000000" w:rsidRPr="00000000">
        <w:rPr>
          <w:b w:val="1"/>
          <w:color w:val="212529"/>
          <w:rtl w:val="0"/>
        </w:rPr>
        <w:t xml:space="preserve">Febrilní neutropenie - G- infekce: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jc w:val="both"/>
        <w:rPr>
          <w:color w:val="212529"/>
        </w:rPr>
      </w:pPr>
      <w:r w:rsidDel="00000000" w:rsidR="00000000" w:rsidRPr="00000000">
        <w:rPr>
          <w:color w:val="212529"/>
          <w:rtl w:val="0"/>
        </w:rPr>
        <w:t xml:space="preserve">low risk: </w:t>
      </w:r>
      <w:r w:rsidDel="00000000" w:rsidR="00000000" w:rsidRPr="00000000">
        <w:rPr>
          <w:color w:val="212529"/>
          <w:u w:val="single"/>
          <w:rtl w:val="0"/>
        </w:rPr>
        <w:t xml:space="preserve">unasyn + gentamicin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jc w:val="both"/>
        <w:rPr>
          <w:color w:val="212529"/>
        </w:rPr>
      </w:pPr>
      <w:r w:rsidDel="00000000" w:rsidR="00000000" w:rsidRPr="00000000">
        <w:rPr>
          <w:color w:val="212529"/>
          <w:rtl w:val="0"/>
        </w:rPr>
        <w:t xml:space="preserve">high risk:</w:t>
      </w:r>
      <w:r w:rsidDel="00000000" w:rsidR="00000000" w:rsidRPr="00000000">
        <w:rPr>
          <w:color w:val="212529"/>
          <w:u w:val="single"/>
          <w:rtl w:val="0"/>
        </w:rPr>
        <w:t xml:space="preserve"> tazocin + amikacin (Amikin)/cefalosporiny IV. generace.</w:t>
      </w:r>
    </w:p>
    <w:p w:rsidR="00000000" w:rsidDel="00000000" w:rsidP="00000000" w:rsidRDefault="00000000" w:rsidRPr="00000000" w14:paraId="0000002B">
      <w:pPr>
        <w:ind w:left="0" w:firstLine="0"/>
        <w:jc w:val="both"/>
        <w:rPr>
          <w:color w:val="212529"/>
          <w:u w:val="single"/>
        </w:rPr>
      </w:pPr>
      <w:r w:rsidDel="00000000" w:rsidR="00000000" w:rsidRPr="00000000">
        <w:rPr>
          <w:color w:val="212529"/>
          <w:rtl w:val="0"/>
        </w:rPr>
        <w:t xml:space="preserve">3) </w:t>
      </w:r>
      <w:r w:rsidDel="00000000" w:rsidR="00000000" w:rsidRPr="00000000">
        <w:rPr>
          <w:b w:val="1"/>
          <w:color w:val="212529"/>
          <w:rtl w:val="0"/>
        </w:rPr>
        <w:t xml:space="preserve">Meningitidy</w:t>
      </w:r>
      <w:r w:rsidDel="00000000" w:rsidR="00000000" w:rsidRPr="00000000">
        <w:rPr>
          <w:color w:val="212529"/>
          <w:rtl w:val="0"/>
        </w:rPr>
        <w:t xml:space="preserve"> - pneumokok, meningokok:</w:t>
      </w:r>
      <w:r w:rsidDel="00000000" w:rsidR="00000000" w:rsidRPr="00000000">
        <w:rPr>
          <w:color w:val="212529"/>
          <w:u w:val="single"/>
          <w:rtl w:val="0"/>
        </w:rPr>
        <w:t xml:space="preserve"> cefotaxim</w:t>
      </w:r>
    </w:p>
    <w:p w:rsidR="00000000" w:rsidDel="00000000" w:rsidP="00000000" w:rsidRDefault="00000000" w:rsidRPr="00000000" w14:paraId="0000002C">
      <w:pPr>
        <w:ind w:left="0" w:firstLine="0"/>
        <w:jc w:val="both"/>
        <w:rPr>
          <w:b w:val="1"/>
          <w:color w:val="212529"/>
        </w:rPr>
      </w:pPr>
      <w:r w:rsidDel="00000000" w:rsidR="00000000" w:rsidRPr="00000000">
        <w:rPr>
          <w:color w:val="212529"/>
          <w:rtl w:val="0"/>
        </w:rPr>
        <w:t xml:space="preserve">4) </w:t>
      </w:r>
      <w:r w:rsidDel="00000000" w:rsidR="00000000" w:rsidRPr="00000000">
        <w:rPr>
          <w:b w:val="1"/>
          <w:color w:val="212529"/>
          <w:rtl w:val="0"/>
        </w:rPr>
        <w:t xml:space="preserve">Chirurgický pacient, postižení měkkých tkání, anaerobní infekce: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jc w:val="both"/>
        <w:rPr>
          <w:color w:val="212529"/>
        </w:rPr>
      </w:pPr>
      <w:r w:rsidDel="00000000" w:rsidR="00000000" w:rsidRPr="00000000">
        <w:rPr>
          <w:color w:val="212529"/>
          <w:u w:val="single"/>
          <w:rtl w:val="0"/>
        </w:rPr>
        <w:t xml:space="preserve">Klindamycin, metronidazol, aminoglykosidy, cefalosporiny III. generace.</w:t>
      </w:r>
      <w:r w:rsidDel="00000000" w:rsidR="00000000" w:rsidRPr="00000000">
        <w:rPr>
          <w:color w:val="212529"/>
          <w:rtl w:val="0"/>
        </w:rPr>
        <w:t xml:space="preserve"> </w:t>
      </w:r>
    </w:p>
    <w:p w:rsidR="00000000" w:rsidDel="00000000" w:rsidP="00000000" w:rsidRDefault="00000000" w:rsidRPr="00000000" w14:paraId="0000002E">
      <w:pPr>
        <w:jc w:val="both"/>
        <w:rPr>
          <w:color w:val="212529"/>
        </w:rPr>
      </w:pPr>
      <w:r w:rsidDel="00000000" w:rsidR="00000000" w:rsidRPr="00000000">
        <w:rPr>
          <w:color w:val="212529"/>
          <w:rtl w:val="0"/>
        </w:rPr>
        <w:t xml:space="preserve">- Po 3-5 dnech deeskalace dle výsledků kultivace. </w:t>
      </w:r>
    </w:p>
    <w:p w:rsidR="00000000" w:rsidDel="00000000" w:rsidP="00000000" w:rsidRDefault="00000000" w:rsidRPr="00000000" w14:paraId="0000002F">
      <w:pPr>
        <w:ind w:left="0" w:firstLine="0"/>
        <w:jc w:val="both"/>
        <w:rPr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wikiskripta.eu/w/Leukocy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