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Epilepsie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 opakovaný výskyt </w:t>
      </w:r>
      <w:r w:rsidDel="00000000" w:rsidR="00000000" w:rsidRPr="00000000">
        <w:rPr>
          <w:u w:val="single"/>
          <w:rtl w:val="0"/>
        </w:rPr>
        <w:t xml:space="preserve">neprovokovaných</w:t>
      </w:r>
      <w:r w:rsidDel="00000000" w:rsidR="00000000" w:rsidRPr="00000000">
        <w:rPr>
          <w:rtl w:val="0"/>
        </w:rPr>
        <w:t xml:space="preserve"> epileptických záchvatů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Epileptickým záchvatem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=  paroxysmální porucha chování, emocí, motorických, senzorických či autonomních funkcí na podkladě abnormální (excesivní a hypersynchronní) aktivity neuronů mozkové kůry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- Přibližně 1 % dospělé populace ve vyspělých zemích trpí epilepsií a až 6–8 % populace prodělá v průběhu života alespoň 1 epileptický záchvat.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Geneticky podmíněných  epileptických syndromů se manifestuje do 25–30 let a naopak ve vyšším věku, zhruba od 65–70 let narůstá incidence epileptických syndromů se strukturální příčinou, jakou jsou traumata, cévní mozkové příhody, tumory či neurodegenerativní onemocnění.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 záchvatů a epileptických syndromů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 Fokální záchvaty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Vznikají na podkladě epileptické aktivity vycházející z určitého ložiska, jehož lokalizace je určující pro symptomatiku záchvatů.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Motorické (tonické/klonické), senzitivní (parestezie,pseudohalucinace, iluze, bolest), autonomní (nauzea, zčervenání, bolest) či psychické projevy (deja vu, depersonalizace).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Mohou být doprovázeny zastřením vědomí a amnézií na záchvat.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Při souběžných poruch vědomí se velmi často objevují tzv. </w:t>
      </w:r>
      <w:r w:rsidDel="00000000" w:rsidR="00000000" w:rsidRPr="00000000">
        <w:rPr>
          <w:u w:val="single"/>
          <w:rtl w:val="0"/>
        </w:rPr>
        <w:t xml:space="preserve">automatismy,</w:t>
      </w:r>
      <w:r w:rsidDel="00000000" w:rsidR="00000000" w:rsidRPr="00000000">
        <w:rPr>
          <w:rtl w:val="0"/>
        </w:rPr>
        <w:t xml:space="preserve"> což je bezúčelná manipulace s předměty, žvýkací pohyby, polykání, grimasování apod.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Generalizované záchvaty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Absence, myoklonie a tonicko-klonické záchvaty. Čistě klonické, tonické či atonické záchvaty se objevují méně často.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Absence</w:t>
      </w:r>
      <w:r w:rsidDel="00000000" w:rsidR="00000000" w:rsidRPr="00000000">
        <w:rPr>
          <w:rtl w:val="0"/>
        </w:rPr>
        <w:t xml:space="preserve">-  dětský věk nebo adolescence. Poruchu vědomí se </w:t>
      </w:r>
      <w:r w:rsidDel="00000000" w:rsidR="00000000" w:rsidRPr="00000000">
        <w:rPr>
          <w:rtl w:val="0"/>
        </w:rPr>
        <w:t xml:space="preserve">zárazem</w:t>
      </w:r>
      <w:r w:rsidDel="00000000" w:rsidR="00000000" w:rsidRPr="00000000">
        <w:rPr>
          <w:rtl w:val="0"/>
        </w:rPr>
        <w:t xml:space="preserve"> činnosti, někdy s mírnými motorickými projevy, typickým rysem je náhlý začátek a konec.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Myoklonické záchvaty</w:t>
      </w:r>
      <w:r w:rsidDel="00000000" w:rsidR="00000000" w:rsidRPr="00000000">
        <w:rPr>
          <w:rtl w:val="0"/>
        </w:rPr>
        <w:t xml:space="preserve"> jsou charakterizovány krátkými nebo vícečetnými, zpravidla symetrickými záškuby končetin, které vedou k vypadávání předmětů z rukou, </w:t>
      </w:r>
      <w:r w:rsidDel="00000000" w:rsidR="00000000" w:rsidRPr="00000000">
        <w:rPr>
          <w:rtl w:val="0"/>
        </w:rPr>
        <w:t xml:space="preserve">podklesnutí</w:t>
      </w:r>
      <w:r w:rsidDel="00000000" w:rsidR="00000000" w:rsidRPr="00000000">
        <w:rPr>
          <w:rtl w:val="0"/>
        </w:rPr>
        <w:t xml:space="preserve"> v kolenou, vzácněji mohou vést až k pádu; vědomí je u nich zachováno.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Tonicko-klonický záchvat</w:t>
      </w:r>
      <w:r w:rsidDel="00000000" w:rsidR="00000000" w:rsidRPr="00000000">
        <w:rPr>
          <w:rtl w:val="0"/>
        </w:rPr>
        <w:t xml:space="preserve"> začíná tonickou křečí, pádem, epileptickým výkřikem, porucha vědomí je od počátku záchvatu, objevuje se cyanóza, která je dána křečí respiračního svalstva, postupně tonická křeč přechází v křeče klonické s chrčivým dýcháním a pěnou u úst. Ke konci záchvatu dochází k plynulému poklesu frekvence klonických záškubů, návrat vědomí je pozvolný s přechodnou obnubilací, dezorientací a s amnézií na záchvat.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Genetická etiologie </w:t>
      </w:r>
      <w:r w:rsidDel="00000000" w:rsidR="00000000" w:rsidRPr="00000000">
        <w:rPr>
          <w:rtl w:val="0"/>
        </w:rPr>
        <w:t xml:space="preserve">- mutace genů kódujících určité podjednotky neuronálních iontových kanálů, čímž dochází ke změně excitability neuronů.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Strukturální příčiny</w:t>
      </w:r>
      <w:r w:rsidDel="00000000" w:rsidR="00000000" w:rsidRPr="00000000">
        <w:rPr>
          <w:rtl w:val="0"/>
        </w:rPr>
        <w:t xml:space="preserve"> - vrozené malformace kortikálního vývoje, nádory, záněty, traumata, cévní malformace, cévní mozkové příhody, v tropických oblastech parazitární onemocnění aj.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Idiopatické generalizované epilepsie</w:t>
      </w:r>
      <w:r w:rsidDel="00000000" w:rsidR="00000000" w:rsidRPr="00000000">
        <w:rPr>
          <w:rtl w:val="0"/>
        </w:rPr>
        <w:t xml:space="preserve"> zahrnují čtyři syndromy: dětské absence, juvenilní absence, juvenilní myoklonickou epilepsii a epilepsii pouze s generalizovanými tonicko-klonickými záchvaty.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Infekční etiologie</w:t>
      </w:r>
      <w:r w:rsidDel="00000000" w:rsidR="00000000" w:rsidRPr="00000000">
        <w:rPr>
          <w:rtl w:val="0"/>
        </w:rPr>
        <w:t xml:space="preserve"> - vztahuje se spíše na pacienty s epilepsií, než na záchvaty akutní symptomatické (provokované), které se objevují v situaci akutní neuroinfekce. Návaznosti na akutní neuroinfekci, např. virovou encefalitidu. Nejčastěji neurocysticerkóza, tuberkulóza, HIV, mozková malárie, subakutní </w:t>
      </w:r>
      <w:r w:rsidDel="00000000" w:rsidR="00000000" w:rsidRPr="00000000">
        <w:rPr>
          <w:rtl w:val="0"/>
        </w:rPr>
        <w:t xml:space="preserve">sklerózující</w:t>
      </w:r>
      <w:r w:rsidDel="00000000" w:rsidR="00000000" w:rsidRPr="00000000">
        <w:rPr>
          <w:rtl w:val="0"/>
        </w:rPr>
        <w:t xml:space="preserve"> panencefalitida, mozková toxoplazmóza a vrozené infekce jako jsou Zika a cytomegalovirus.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Metabolická etiologie</w:t>
      </w:r>
      <w:r w:rsidDel="00000000" w:rsidR="00000000" w:rsidRPr="00000000">
        <w:rPr>
          <w:rtl w:val="0"/>
        </w:rPr>
        <w:t xml:space="preserve"> - přímým důsledkem známého nebo předpokládaného metabolického onemocnění, u kterého jsou záchvaty jedním z hlavních příznaků. Metabolické příčiny se vztahují k definovaným metabolickým vadám, např. porfyrie, poruchy metabolizmu aminokyselin nebo záchvaty závislé na pyridoxinu. Většina metabolických epilepsií má genetický podklad.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Autoimunitní etiologie</w:t>
      </w:r>
      <w:r w:rsidDel="00000000" w:rsidR="00000000" w:rsidRPr="00000000">
        <w:rPr>
          <w:rtl w:val="0"/>
        </w:rPr>
        <w:t xml:space="preserve"> se klasifikuje v případech, kdy je epilepsie přímým důsledkem imunitně </w:t>
      </w:r>
      <w:r w:rsidDel="00000000" w:rsidR="00000000" w:rsidRPr="00000000">
        <w:rPr>
          <w:rtl w:val="0"/>
        </w:rPr>
        <w:t xml:space="preserve">zprostředkovaného</w:t>
      </w:r>
      <w:r w:rsidDel="00000000" w:rsidR="00000000" w:rsidRPr="00000000">
        <w:rPr>
          <w:rtl w:val="0"/>
        </w:rPr>
        <w:t xml:space="preserve"> zánětu CNS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Epilepsie neznámé etiologie</w:t>
      </w:r>
      <w:r w:rsidDel="00000000" w:rsidR="00000000" w:rsidRPr="00000000">
        <w:rPr>
          <w:rtl w:val="0"/>
        </w:rPr>
        <w:t xml:space="preserve"> je označení situace, kdy příčina epilepsie není zatím známá.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- Pozitivní průkaz výskytu epileptických záchvatů.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 EEG, video-EEG.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CT, MRI.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 - odlišení neepileptických záchvatů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Somatické (organické) neepileptické záchvaty </w:t>
      </w:r>
    </w:p>
    <w:p w:rsidR="00000000" w:rsidDel="00000000" w:rsidP="00000000" w:rsidRDefault="00000000" w:rsidRPr="00000000" w14:paraId="00000027">
      <w:pPr>
        <w:jc w:val="both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- Synkopa</w:t>
      </w:r>
    </w:p>
    <w:p w:rsidR="00000000" w:rsidDel="00000000" w:rsidP="00000000" w:rsidRDefault="00000000" w:rsidRPr="00000000" w14:paraId="00000028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Spazmofilní či hyperventilační tetanie</w:t>
      </w:r>
      <w:r w:rsidDel="00000000" w:rsidR="00000000" w:rsidRPr="00000000">
        <w:rPr>
          <w:rtl w:val="0"/>
        </w:rPr>
        <w:t xml:space="preserve"> - zvýšená nervosvalová dráždivost a na jejím rozvoji se může podílet hypomagnezémie a hypokalcemie. Parestezie končetin, obličeje, zejména periorálně, přičemž jejich lokalizace nemusí být vždy symetrická a v některých případech jsou pouze unilaterální. Velmi častý je úzkostný doprovod, palpitace, pocit nemožnosti „</w:t>
      </w:r>
      <w:r w:rsidDel="00000000" w:rsidR="00000000" w:rsidRPr="00000000">
        <w:rPr>
          <w:rtl w:val="0"/>
        </w:rPr>
        <w:t xml:space="preserve">dodýchnout</w:t>
      </w:r>
      <w:r w:rsidDel="00000000" w:rsidR="00000000" w:rsidRPr="00000000">
        <w:rPr>
          <w:rtl w:val="0"/>
        </w:rPr>
        <w:t xml:space="preserve">“. V případě, že se pacient snaží tyto </w:t>
      </w:r>
      <w:r w:rsidDel="00000000" w:rsidR="00000000" w:rsidRPr="00000000">
        <w:rPr>
          <w:rtl w:val="0"/>
        </w:rPr>
        <w:t xml:space="preserve">obtíže</w:t>
      </w:r>
      <w:r w:rsidDel="00000000" w:rsidR="00000000" w:rsidRPr="00000000">
        <w:rPr>
          <w:rtl w:val="0"/>
        </w:rPr>
        <w:t xml:space="preserve"> „rozdýchat“, dochází v důsledku hyperventilační alkalózy k hypokapnii a snížení ionizované frakce kalcia v séru, což vede k výraznému zhoršení obtíží, někdy s </w:t>
      </w:r>
      <w:r w:rsidDel="00000000" w:rsidR="00000000" w:rsidRPr="00000000">
        <w:rPr>
          <w:rtl w:val="0"/>
        </w:rPr>
        <w:t xml:space="preserve">karpopedálními</w:t>
      </w:r>
      <w:r w:rsidDel="00000000" w:rsidR="00000000" w:rsidRPr="00000000">
        <w:rPr>
          <w:rtl w:val="0"/>
        </w:rPr>
        <w:t xml:space="preserve"> spazmy a poruchou vědomí.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Parasomnie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 Záchvaty psychogenní,</w:t>
      </w:r>
      <w:r w:rsidDel="00000000" w:rsidR="00000000" w:rsidRPr="00000000">
        <w:rPr>
          <w:rtl w:val="0"/>
        </w:rPr>
        <w:t xml:space="preserve"> kam řadíme např. panickou poruchu či záchvaty v rámci disociativní poruchy.</w:t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 Provokované záchvaty </w:t>
      </w:r>
      <w:r w:rsidDel="00000000" w:rsidR="00000000" w:rsidRPr="00000000">
        <w:rPr>
          <w:rtl w:val="0"/>
        </w:rPr>
        <w:t xml:space="preserve">- léčba je účinná eliminace vyvolávajícího faktoru. </w:t>
      </w:r>
    </w:p>
    <w:p w:rsidR="00000000" w:rsidDel="00000000" w:rsidP="00000000" w:rsidRDefault="00000000" w:rsidRPr="00000000" w14:paraId="0000002D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ab/>
        <w:t xml:space="preserve">-</w:t>
      </w:r>
      <w:r w:rsidDel="00000000" w:rsidR="00000000" w:rsidRPr="00000000">
        <w:rPr>
          <w:u w:val="single"/>
          <w:rtl w:val="0"/>
        </w:rPr>
        <w:t xml:space="preserve"> </w:t>
      </w: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Febrilie</w:t>
        </w:r>
      </w:hyperlink>
      <w:r w:rsidDel="00000000" w:rsidR="00000000" w:rsidRPr="00000000">
        <w:rPr>
          <w:highlight w:val="white"/>
          <w:rtl w:val="0"/>
        </w:rPr>
        <w:t xml:space="preserve"> (</w:t>
      </w:r>
      <w:hyperlink r:id="rId7">
        <w:r w:rsidDel="00000000" w:rsidR="00000000" w:rsidRPr="00000000">
          <w:rPr>
            <w:highlight w:val="white"/>
            <w:rtl w:val="0"/>
          </w:rPr>
          <w:t xml:space="preserve">febrilní křeče</w:t>
        </w:r>
      </w:hyperlink>
      <w:r w:rsidDel="00000000" w:rsidR="00000000" w:rsidRPr="00000000">
        <w:rPr>
          <w:highlight w:val="white"/>
          <w:rtl w:val="0"/>
        </w:rPr>
        <w:t xml:space="preserve"> se vyskytují zejména u dětí do 2–3 let)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highlight w:val="white"/>
          <w:u w:val="single"/>
          <w:rtl w:val="0"/>
        </w:rPr>
        <w:t xml:space="preserve">- Metabolické příčiny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rtl w:val="0"/>
        </w:rPr>
        <w:t xml:space="preserve">hypoglykemie, hyperglykemie, iontové dysbalance. </w:t>
      </w:r>
    </w:p>
    <w:p w:rsidR="00000000" w:rsidDel="00000000" w:rsidP="00000000" w:rsidRDefault="00000000" w:rsidRPr="00000000" w14:paraId="0000002F">
      <w:pPr>
        <w:jc w:val="both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- Akutní neuroinfekce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u w:val="single"/>
          <w:rtl w:val="0"/>
        </w:rPr>
        <w:t xml:space="preserve">- </w:t>
      </w:r>
      <w:r w:rsidDel="00000000" w:rsidR="00000000" w:rsidRPr="00000000">
        <w:rPr>
          <w:highlight w:val="white"/>
          <w:u w:val="single"/>
          <w:rtl w:val="0"/>
        </w:rPr>
        <w:t xml:space="preserve">Afektivní respirační záchvaty</w:t>
      </w:r>
      <w:r w:rsidDel="00000000" w:rsidR="00000000" w:rsidRPr="00000000">
        <w:rPr>
          <w:highlight w:val="white"/>
          <w:rtl w:val="0"/>
        </w:rPr>
        <w:t xml:space="preserve"> (u malých dětí v důsledků intenzivní emoce – pláč, smích, kdy křeče vyprovokuje dočasná </w:t>
      </w:r>
      <w:hyperlink r:id="rId8">
        <w:r w:rsidDel="00000000" w:rsidR="00000000" w:rsidRPr="00000000">
          <w:rPr>
            <w:highlight w:val="white"/>
            <w:rtl w:val="0"/>
          </w:rPr>
          <w:t xml:space="preserve">apnoe</w:t>
        </w:r>
      </w:hyperlink>
      <w:r w:rsidDel="00000000" w:rsidR="00000000" w:rsidRPr="00000000">
        <w:rPr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Karence vitamínů či minerálů</w:t>
      </w:r>
      <w:r w:rsidDel="00000000" w:rsidR="00000000" w:rsidRPr="00000000">
        <w:rPr>
          <w:highlight w:val="white"/>
          <w:rtl w:val="0"/>
        </w:rPr>
        <w:t xml:space="preserve"> (</w:t>
      </w:r>
      <w:hyperlink r:id="rId9">
        <w:r w:rsidDel="00000000" w:rsidR="00000000" w:rsidRPr="00000000">
          <w:rPr>
            <w:highlight w:val="white"/>
            <w:rtl w:val="0"/>
          </w:rPr>
          <w:t xml:space="preserve">sodík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0">
        <w:r w:rsidDel="00000000" w:rsidR="00000000" w:rsidRPr="00000000">
          <w:rPr>
            <w:highlight w:val="white"/>
            <w:rtl w:val="0"/>
          </w:rPr>
          <w:t xml:space="preserve">draslík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highlight w:val="white"/>
            <w:rtl w:val="0"/>
          </w:rPr>
          <w:t xml:space="preserve">hořčík</w:t>
        </w:r>
      </w:hyperlink>
      <w:r w:rsidDel="00000000" w:rsidR="00000000" w:rsidRPr="00000000">
        <w:rPr>
          <w:highlight w:val="white"/>
          <w:rtl w:val="0"/>
        </w:rPr>
        <w:t xml:space="preserve">), nebo naopak jejich nadbytek.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Tetanické křeče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Synkopa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Eklampsie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</w:t>
      </w:r>
      <w:hyperlink r:id="rId12">
        <w:r w:rsidDel="00000000" w:rsidR="00000000" w:rsidRPr="00000000">
          <w:rPr>
            <w:highlight w:val="white"/>
            <w:u w:val="single"/>
            <w:rtl w:val="0"/>
          </w:rPr>
          <w:t xml:space="preserve">Intoxikace</w:t>
        </w:r>
      </w:hyperlink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– typicky centrální psychostimulancia (deriváty </w:t>
      </w:r>
      <w:hyperlink r:id="rId13">
        <w:r w:rsidDel="00000000" w:rsidR="00000000" w:rsidRPr="00000000">
          <w:rPr>
            <w:highlight w:val="white"/>
            <w:rtl w:val="0"/>
          </w:rPr>
          <w:t xml:space="preserve">budivých aminů</w:t>
        </w:r>
      </w:hyperlink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</w:t>
      </w:r>
      <w:hyperlink r:id="rId14">
        <w:r w:rsidDel="00000000" w:rsidR="00000000" w:rsidRPr="00000000">
          <w:rPr>
            <w:highlight w:val="white"/>
            <w:u w:val="single"/>
            <w:rtl w:val="0"/>
          </w:rPr>
          <w:t xml:space="preserve">Abstinenční syndrom</w:t>
        </w:r>
      </w:hyperlink>
      <w:r w:rsidDel="00000000" w:rsidR="00000000" w:rsidRPr="00000000">
        <w:rPr>
          <w:highlight w:val="white"/>
          <w:rtl w:val="0"/>
        </w:rPr>
        <w:t xml:space="preserve"> (</w:t>
      </w:r>
      <w:hyperlink r:id="rId15">
        <w:r w:rsidDel="00000000" w:rsidR="00000000" w:rsidRPr="00000000">
          <w:rPr>
            <w:highlight w:val="white"/>
            <w:rtl w:val="0"/>
          </w:rPr>
          <w:t xml:space="preserve">Delirium tremens</w:t>
        </w:r>
      </w:hyperlink>
      <w:r w:rsidDel="00000000" w:rsidR="00000000" w:rsidRPr="00000000">
        <w:rPr>
          <w:highlight w:val="white"/>
          <w:rtl w:val="0"/>
        </w:rPr>
        <w:t xml:space="preserve">, odvykací stav po </w:t>
      </w:r>
      <w:hyperlink r:id="rId16">
        <w:r w:rsidDel="00000000" w:rsidR="00000000" w:rsidRPr="00000000">
          <w:rPr>
            <w:highlight w:val="white"/>
            <w:rtl w:val="0"/>
          </w:rPr>
          <w:t xml:space="preserve">benzodiazepinech</w:t>
        </w:r>
      </w:hyperlink>
      <w:r w:rsidDel="00000000" w:rsidR="00000000" w:rsidRPr="00000000">
        <w:rPr>
          <w:highlight w:val="white"/>
          <w:rtl w:val="0"/>
        </w:rPr>
        <w:t xml:space="preserve"> či </w:t>
      </w:r>
      <w:hyperlink r:id="rId17">
        <w:r w:rsidDel="00000000" w:rsidR="00000000" w:rsidRPr="00000000">
          <w:rPr>
            <w:highlight w:val="white"/>
            <w:rtl w:val="0"/>
          </w:rPr>
          <w:t xml:space="preserve">barbiturátech</w:t>
        </w:r>
      </w:hyperlink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u w:val="single"/>
          <w:rtl w:val="0"/>
        </w:rPr>
        <w:t xml:space="preserve">Psychiatrické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Antiepileptika: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- 1. </w:t>
      </w:r>
      <w:r w:rsidDel="00000000" w:rsidR="00000000" w:rsidRPr="00000000">
        <w:rPr>
          <w:rtl w:val="0"/>
        </w:rPr>
        <w:t xml:space="preserve">generace – </w:t>
      </w:r>
      <w:hyperlink r:id="rId18">
        <w:r w:rsidDel="00000000" w:rsidR="00000000" w:rsidRPr="00000000">
          <w:rPr>
            <w:rtl w:val="0"/>
          </w:rPr>
          <w:t xml:space="preserve">barbituráty</w:t>
        </w:r>
      </w:hyperlink>
      <w:r w:rsidDel="00000000" w:rsidR="00000000" w:rsidRPr="00000000">
        <w:rPr>
          <w:rtl w:val="0"/>
        </w:rPr>
        <w:t xml:space="preserve"> (fenobarbital)</w:t>
      </w:r>
      <w:r w:rsidDel="00000000" w:rsidR="00000000" w:rsidRPr="00000000">
        <w:rPr>
          <w:rtl w:val="0"/>
        </w:rPr>
        <w:t xml:space="preserve">, hydantoináty (fenobarbital), sukcinimidy</w:t>
      </w:r>
    </w:p>
    <w:p w:rsidR="00000000" w:rsidDel="00000000" w:rsidP="00000000" w:rsidRDefault="00000000" w:rsidRPr="00000000" w14:paraId="0000003C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- 2. generace – karbamazepin, valproát, </w:t>
      </w:r>
      <w:hyperlink r:id="rId19">
        <w:r w:rsidDel="00000000" w:rsidR="00000000" w:rsidRPr="00000000">
          <w:rPr>
            <w:rtl w:val="0"/>
          </w:rPr>
          <w:t xml:space="preserve">BZD</w:t>
        </w:r>
      </w:hyperlink>
      <w:r w:rsidDel="00000000" w:rsidR="00000000" w:rsidRPr="00000000">
        <w:rPr>
          <w:rtl w:val="0"/>
        </w:rPr>
        <w:t xml:space="preserve"> (diazepam, lotazepam)</w:t>
      </w:r>
    </w:p>
    <w:p w:rsidR="00000000" w:rsidDel="00000000" w:rsidP="00000000" w:rsidRDefault="00000000" w:rsidRPr="00000000" w14:paraId="0000003D">
      <w:pPr>
        <w:ind w:left="0" w:firstLine="72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- 3. generace – nové selektivní, drahé preparáty (gabapentin, vigabatrin)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Epileptochirurgický zákrok.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Implantace vagového stimulátoru. 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První pomoc: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Nebráníme křečovým pohybům, nevkládáme nic do úst, pouze pacienta odstranit z dosahu ostrých předmětů k eliminaci rizika poranění. Po skončení záchvatu zkontrolujeme dýchání, případně odstraníme překážky z dýchacích cest (zubní protéza, zapadlý jazyk) a pacienta uložíme do zotavovací polohy. 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- 90 % nekomplikovaných záchvatů trvá méně než 2 minuty, zřídka do 5 minut. Pacient mezi záchvaty neprobírá k vědomí, trvající déle než 5, maximálně 10 minut je třeba léčit jako status epilepticus. 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Diazepam 10 mg i. v. nebo per rectum, přičemž můžeme tuto dávku podat opakovaně v 5 minutových intervalech do celkové dávky 20–30 mg.</w:t>
      </w:r>
      <w:r w:rsidDel="00000000" w:rsidR="00000000" w:rsidRPr="00000000">
        <w:rPr>
          <w:rtl w:val="0"/>
        </w:rPr>
        <w:t xml:space="preserve"> Pokud diazepam nemá efekt - </w:t>
      </w:r>
      <w:r w:rsidDel="00000000" w:rsidR="00000000" w:rsidRPr="00000000">
        <w:rPr>
          <w:u w:val="single"/>
          <w:rtl w:val="0"/>
        </w:rPr>
        <w:t xml:space="preserve">phenytoin či valproát i.v.</w:t>
      </w:r>
      <w:r w:rsidDel="00000000" w:rsidR="00000000" w:rsidRPr="00000000">
        <w:rPr>
          <w:rtl w:val="0"/>
        </w:rPr>
        <w:t xml:space="preserve"> Při selhání této léčby je nutná</w:t>
      </w:r>
      <w:r w:rsidDel="00000000" w:rsidR="00000000" w:rsidRPr="00000000">
        <w:rPr>
          <w:u w:val="single"/>
          <w:rtl w:val="0"/>
        </w:rPr>
        <w:t xml:space="preserve"> intubace, zavedení i. v. anestézie a monitorace EEG </w:t>
      </w:r>
      <w:r w:rsidDel="00000000" w:rsidR="00000000" w:rsidRPr="00000000">
        <w:rPr>
          <w:rtl w:val="0"/>
        </w:rPr>
        <w:t xml:space="preserve">na specializovaném pracovišti.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w/Ho%C5%99%C4%8D%C3%ADk" TargetMode="External"/><Relationship Id="rId10" Type="http://schemas.openxmlformats.org/officeDocument/2006/relationships/hyperlink" Target="https://www.wikiskripta.eu/w/Drasl%C3%ADk" TargetMode="External"/><Relationship Id="rId13" Type="http://schemas.openxmlformats.org/officeDocument/2006/relationships/hyperlink" Target="https://www.wikiskripta.eu/w/Amfetamin" TargetMode="External"/><Relationship Id="rId12" Type="http://schemas.openxmlformats.org/officeDocument/2006/relationships/hyperlink" Target="https://www.wikiskripta.eu/w/Intoxika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Sod%C3%ADk" TargetMode="External"/><Relationship Id="rId15" Type="http://schemas.openxmlformats.org/officeDocument/2006/relationships/hyperlink" Target="https://www.wikiskripta.eu/w/Delirium_tremens" TargetMode="External"/><Relationship Id="rId14" Type="http://schemas.openxmlformats.org/officeDocument/2006/relationships/hyperlink" Target="https://www.wikiskripta.eu/w/Abstinen%C4%8Dn%C3%AD_syndrom" TargetMode="External"/><Relationship Id="rId17" Type="http://schemas.openxmlformats.org/officeDocument/2006/relationships/hyperlink" Target="https://www.wikiskripta.eu/w/Barbitur%C3%A1ty" TargetMode="External"/><Relationship Id="rId16" Type="http://schemas.openxmlformats.org/officeDocument/2006/relationships/hyperlink" Target="https://www.wikiskripta.eu/w/Benzodiazepiny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ikiskripta.eu/w/Benzodiazepiny" TargetMode="External"/><Relationship Id="rId6" Type="http://schemas.openxmlformats.org/officeDocument/2006/relationships/hyperlink" Target="https://www.wikiskripta.eu/w/Febrilie" TargetMode="External"/><Relationship Id="rId18" Type="http://schemas.openxmlformats.org/officeDocument/2006/relationships/hyperlink" Target="https://www.wikiskripta.eu/w/Barbitur%C3%A1ty" TargetMode="External"/><Relationship Id="rId7" Type="http://schemas.openxmlformats.org/officeDocument/2006/relationships/hyperlink" Target="https://www.wikiskripta.eu/w/Febriln%C3%AD_k%C5%99e%C4%8De" TargetMode="External"/><Relationship Id="rId8" Type="http://schemas.openxmlformats.org/officeDocument/2006/relationships/hyperlink" Target="https://www.wikiskripta.eu/w/Apn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